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关于实验动物伦理审查材料填报说明：</w:t>
      </w:r>
    </w:p>
    <w:p>
      <w:pPr>
        <w:rPr>
          <w:rFonts w:hint="eastAsia"/>
          <w:sz w:val="28"/>
          <w:szCs w:val="36"/>
        </w:rPr>
      </w:pP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1、根据学校动物中心关于申报项目动物伦理审查材料的要求，所有材料必须先形式审查通过之后（约3个工作日）→送动物中心伦理委员会专家评审材料（约3个工作日，</w:t>
      </w:r>
      <w:r>
        <w:rPr>
          <w:rFonts w:hint="eastAsia"/>
          <w:sz w:val="28"/>
          <w:szCs w:val="36"/>
          <w:lang w:eastAsia="zh-CN"/>
        </w:rPr>
        <w:t>视</w:t>
      </w:r>
      <w:r>
        <w:rPr>
          <w:rFonts w:hint="eastAsia"/>
          <w:sz w:val="28"/>
          <w:szCs w:val="36"/>
        </w:rPr>
        <w:t>数量多少</w:t>
      </w:r>
      <w:r>
        <w:rPr>
          <w:rFonts w:hint="eastAsia"/>
          <w:sz w:val="28"/>
          <w:szCs w:val="36"/>
          <w:lang w:eastAsia="zh-CN"/>
        </w:rPr>
        <w:t>叠加时间</w:t>
      </w:r>
      <w:r>
        <w:rPr>
          <w:rFonts w:hint="eastAsia"/>
          <w:sz w:val="28"/>
          <w:szCs w:val="36"/>
        </w:rPr>
        <w:t>）→专家评审无异议后才能签发批件（不同意或认为方案不合理等要求修改后再送审的，流程再从头走）。</w:t>
      </w:r>
    </w:p>
    <w:p>
      <w:pPr>
        <w:rPr>
          <w:rFonts w:hint="eastAsia"/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FF0000"/>
          <w:sz w:val="28"/>
          <w:szCs w:val="36"/>
        </w:rPr>
        <w:t>一经送动物中心审查，不得修改项目名称，请尽快确认！</w:t>
      </w:r>
    </w:p>
    <w:p>
      <w:pPr>
        <w:rPr>
          <w:rFonts w:hint="eastAsia" w:eastAsiaTheme="minorEastAsia"/>
          <w:b/>
          <w:bCs/>
          <w:color w:val="FF0000"/>
          <w:sz w:val="28"/>
          <w:szCs w:val="36"/>
          <w:lang w:eastAsia="zh-CN"/>
        </w:rPr>
      </w:pPr>
      <w:r>
        <w:rPr>
          <w:rFonts w:hint="eastAsia"/>
          <w:b/>
          <w:bCs/>
          <w:color w:val="FF0000"/>
          <w:sz w:val="28"/>
          <w:szCs w:val="36"/>
          <w:lang w:eastAsia="zh-CN"/>
        </w:rPr>
        <w:t>请严格按照我科通知的截止时间报送材料。</w:t>
      </w:r>
    </w:p>
    <w:p>
      <w:pPr>
        <w:numPr>
          <w:ilvl w:val="0"/>
          <w:numId w:val="1"/>
        </w:num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两份表格的执行时间建议与项目的起止时间一致，不容易乱或者前后不一致；动物品系、数量等，也要两份表格一致。</w:t>
      </w:r>
    </w:p>
    <w:p>
      <w:pPr>
        <w:numPr>
          <w:ilvl w:val="0"/>
          <w:numId w:val="1"/>
        </w:num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eastAsia="zh-CN"/>
        </w:rPr>
        <w:t>大小鼠必须选择</w:t>
      </w:r>
      <w:r>
        <w:rPr>
          <w:rFonts w:hint="eastAsia"/>
          <w:sz w:val="28"/>
          <w:szCs w:val="36"/>
          <w:lang w:val="en-US" w:eastAsia="zh-CN"/>
        </w:rPr>
        <w:t>SPF 级；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4</w:t>
      </w:r>
      <w:r>
        <w:rPr>
          <w:rFonts w:hint="eastAsia"/>
          <w:sz w:val="28"/>
          <w:szCs w:val="36"/>
        </w:rPr>
        <w:t>、动物总数不要超过100只，而且要对应后面详细分组情况的合计，切勿前后不一致，导致返回修改，只会耽误伦理批件的签发。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5</w:t>
      </w:r>
      <w:r>
        <w:rPr>
          <w:rFonts w:hint="eastAsia"/>
          <w:sz w:val="28"/>
          <w:szCs w:val="36"/>
        </w:rPr>
        <w:t>、麻醉方式不要使用单一水合氯醛麻醉方法，应选择其他麻醉剂或水合氯醛复合麻醉法。</w:t>
      </w:r>
    </w:p>
    <w:p>
      <w:pPr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val="en-US" w:eastAsia="zh-CN"/>
        </w:rPr>
        <w:t>6</w:t>
      </w:r>
      <w:r>
        <w:rPr>
          <w:rFonts w:hint="eastAsia"/>
          <w:sz w:val="28"/>
          <w:szCs w:val="36"/>
        </w:rPr>
        <w:t>、两份表格所有的栏目都</w:t>
      </w:r>
      <w:bookmarkStart w:id="0" w:name="_GoBack"/>
      <w:bookmarkEnd w:id="0"/>
      <w:r>
        <w:rPr>
          <w:rFonts w:hint="eastAsia"/>
          <w:sz w:val="28"/>
          <w:szCs w:val="36"/>
        </w:rPr>
        <w:t>必须填，不可</w:t>
      </w:r>
      <w:r>
        <w:rPr>
          <w:rFonts w:hint="eastAsia"/>
          <w:sz w:val="28"/>
          <w:szCs w:val="36"/>
          <w:lang w:eastAsia="zh-CN"/>
        </w:rPr>
        <w:t>留空或删减；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7、《申请表》尾页要求添加电子签名（是电子签名，不是直接打字）。如不会弄，可以单独打印尾页出来后签字，扫描成PDF 一并发回。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8、两份表格要求发回WORD 格式，以便审核格式时有小问题即可直接修改。</w:t>
      </w:r>
    </w:p>
    <w:p>
      <w:p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fldChar w:fldCharType="begin"/>
      </w:r>
      <w:r>
        <w:rPr>
          <w:rFonts w:hint="eastAsia"/>
          <w:sz w:val="28"/>
          <w:szCs w:val="36"/>
          <w:lang w:val="en-US" w:eastAsia="zh-CN"/>
        </w:rPr>
        <w:instrText xml:space="preserve"> HYPERLINK "mailto:电子版发回科研科邮箱syskyk02@163.com" </w:instrText>
      </w:r>
      <w:r>
        <w:rPr>
          <w:rFonts w:hint="eastAsia"/>
          <w:sz w:val="28"/>
          <w:szCs w:val="36"/>
          <w:lang w:val="en-US" w:eastAsia="zh-CN"/>
        </w:rPr>
        <w:fldChar w:fldCharType="separate"/>
      </w:r>
      <w:r>
        <w:rPr>
          <w:rStyle w:val="4"/>
          <w:rFonts w:hint="eastAsia"/>
          <w:sz w:val="28"/>
          <w:szCs w:val="36"/>
          <w:lang w:val="en-US" w:eastAsia="zh-CN"/>
        </w:rPr>
        <w:t>电子版发回科研科邮箱syskyk02@163.com</w:t>
      </w:r>
      <w:r>
        <w:rPr>
          <w:rFonts w:hint="eastAsia"/>
          <w:sz w:val="28"/>
          <w:szCs w:val="36"/>
          <w:lang w:val="en-US" w:eastAsia="zh-CN"/>
        </w:rPr>
        <w:fldChar w:fldCharType="end"/>
      </w:r>
      <w:r>
        <w:rPr>
          <w:rFonts w:hint="eastAsia"/>
          <w:sz w:val="28"/>
          <w:szCs w:val="36"/>
          <w:lang w:val="en-US" w:eastAsia="zh-CN"/>
        </w:rPr>
        <w:t xml:space="preserve"> ，备注清楚 申报基金类型+申请人姓名。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9F77A"/>
    <w:multiLevelType w:val="singleLevel"/>
    <w:tmpl w:val="27E9F77A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5B0B1A"/>
    <w:rsid w:val="72137E2E"/>
    <w:rsid w:val="7C6D6C8C"/>
    <w:rsid w:val="7E6D0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Momiji</cp:lastModifiedBy>
  <dcterms:modified xsi:type="dcterms:W3CDTF">2020-08-12T09:26:03Z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